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40DA2" w14:textId="77777777" w:rsidR="00B70876" w:rsidRDefault="00000000">
      <w:pPr>
        <w:jc w:val="center"/>
        <w:rPr>
          <w:rFonts w:ascii="Garamond" w:eastAsia="Garamond" w:hAnsi="Garamond" w:cs="Garamond"/>
          <w:b/>
          <w:sz w:val="24"/>
          <w:szCs w:val="24"/>
        </w:rPr>
      </w:pPr>
      <w:r>
        <w:rPr>
          <w:rFonts w:ascii="Garamond" w:eastAsia="Garamond" w:hAnsi="Garamond" w:cs="Garamond"/>
          <w:b/>
          <w:noProof/>
          <w:sz w:val="24"/>
          <w:szCs w:val="24"/>
        </w:rPr>
        <w:drawing>
          <wp:inline distT="0" distB="0" distL="0" distR="0" wp14:anchorId="182BFA29" wp14:editId="6A28C1BF">
            <wp:extent cx="283857" cy="304133"/>
            <wp:effectExtent l="0" t="0" r="0" b="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57" cy="3041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00BD0B3" w14:textId="77777777" w:rsidR="00B70876" w:rsidRDefault="00000000">
      <w:pPr>
        <w:spacing w:line="189" w:lineRule="auto"/>
        <w:ind w:left="2"/>
        <w:jc w:val="center"/>
        <w:rPr>
          <w:rFonts w:ascii="Garamond" w:eastAsia="Garamond" w:hAnsi="Garamond" w:cs="Garamond"/>
          <w:b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ISTITUTO STATALE DI ISTRUZIONE SUPERIORE MAGRINI MARCHETTI</w:t>
      </w:r>
    </w:p>
    <w:p w14:paraId="40523C7E" w14:textId="77777777" w:rsidR="00B70876" w:rsidRDefault="00000000">
      <w:pPr>
        <w:spacing w:line="282" w:lineRule="auto"/>
        <w:ind w:left="1467"/>
        <w:jc w:val="center"/>
        <w:rPr>
          <w:rFonts w:ascii="Garamond" w:eastAsia="Garamond" w:hAnsi="Garamond" w:cs="Garamond"/>
          <w:b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Liceo Scientifico Istituto Tecnico settori Economico e Tecnologico</w:t>
      </w:r>
    </w:p>
    <w:p w14:paraId="2DE782F8" w14:textId="77777777" w:rsidR="00B70876" w:rsidRDefault="00000000">
      <w:pPr>
        <w:tabs>
          <w:tab w:val="left" w:pos="5856"/>
          <w:tab w:val="left" w:pos="8512"/>
        </w:tabs>
        <w:spacing w:line="267" w:lineRule="auto"/>
        <w:ind w:left="12"/>
        <w:jc w:val="center"/>
        <w:rPr>
          <w:rFonts w:ascii="Garamond" w:eastAsia="Garamond" w:hAnsi="Garamond" w:cs="Garamond"/>
          <w:b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33013 GEMONA DEL FRIULI (</w:t>
      </w:r>
      <w:proofErr w:type="gramStart"/>
      <w:r>
        <w:rPr>
          <w:rFonts w:ascii="Garamond" w:eastAsia="Garamond" w:hAnsi="Garamond" w:cs="Garamond"/>
          <w:b/>
          <w:sz w:val="24"/>
          <w:szCs w:val="24"/>
        </w:rPr>
        <w:t>UD)  via</w:t>
      </w:r>
      <w:proofErr w:type="gramEnd"/>
      <w:r>
        <w:rPr>
          <w:rFonts w:ascii="Garamond" w:eastAsia="Garamond" w:hAnsi="Garamond" w:cs="Garamond"/>
          <w:b/>
          <w:sz w:val="24"/>
          <w:szCs w:val="24"/>
        </w:rPr>
        <w:t xml:space="preserve"> </w:t>
      </w:r>
      <w:proofErr w:type="spellStart"/>
      <w:r>
        <w:rPr>
          <w:rFonts w:ascii="Garamond" w:eastAsia="Garamond" w:hAnsi="Garamond" w:cs="Garamond"/>
          <w:b/>
          <w:sz w:val="24"/>
          <w:szCs w:val="24"/>
        </w:rPr>
        <w:t>Praviolai</w:t>
      </w:r>
      <w:proofErr w:type="spellEnd"/>
      <w:r>
        <w:rPr>
          <w:rFonts w:ascii="Garamond" w:eastAsia="Garamond" w:hAnsi="Garamond" w:cs="Garamond"/>
          <w:b/>
          <w:sz w:val="24"/>
          <w:szCs w:val="24"/>
        </w:rPr>
        <w:t>, 18</w:t>
      </w:r>
      <w:r>
        <w:rPr>
          <w:rFonts w:ascii="Garamond" w:eastAsia="Garamond" w:hAnsi="Garamond" w:cs="Garamond"/>
          <w:b/>
          <w:sz w:val="24"/>
          <w:szCs w:val="24"/>
        </w:rPr>
        <w:tab/>
        <w:t>tel. 0432/981436-981632</w:t>
      </w:r>
      <w:r>
        <w:rPr>
          <w:rFonts w:ascii="Garamond" w:eastAsia="Garamond" w:hAnsi="Garamond" w:cs="Garamond"/>
          <w:b/>
          <w:sz w:val="24"/>
          <w:szCs w:val="24"/>
        </w:rPr>
        <w:tab/>
        <w:t>fax</w:t>
      </w:r>
    </w:p>
    <w:p w14:paraId="25982BBA" w14:textId="77777777" w:rsidR="00B70876" w:rsidRDefault="00000000">
      <w:pPr>
        <w:spacing w:line="270" w:lineRule="auto"/>
        <w:ind w:left="11"/>
        <w:jc w:val="center"/>
        <w:rPr>
          <w:rFonts w:ascii="Garamond" w:eastAsia="Garamond" w:hAnsi="Garamond" w:cs="Garamond"/>
          <w:b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0432/970373</w:t>
      </w:r>
    </w:p>
    <w:p w14:paraId="59D24AEC" w14:textId="77777777" w:rsidR="00B70876" w:rsidRDefault="00000000">
      <w:pPr>
        <w:tabs>
          <w:tab w:val="left" w:pos="4032"/>
          <w:tab w:val="left" w:pos="4439"/>
          <w:tab w:val="left" w:pos="6876"/>
        </w:tabs>
        <w:spacing w:before="75" w:line="117" w:lineRule="auto"/>
        <w:ind w:left="849" w:right="835"/>
        <w:jc w:val="center"/>
        <w:rPr>
          <w:rFonts w:ascii="Garamond" w:eastAsia="Garamond" w:hAnsi="Garamond" w:cs="Garamond"/>
          <w:b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codice scuola UDIS01800D</w:t>
      </w:r>
      <w:r>
        <w:rPr>
          <w:rFonts w:ascii="Garamond" w:eastAsia="Garamond" w:hAnsi="Garamond" w:cs="Garamond"/>
          <w:b/>
          <w:sz w:val="24"/>
          <w:szCs w:val="24"/>
        </w:rPr>
        <w:tab/>
      </w:r>
      <w:r>
        <w:rPr>
          <w:rFonts w:ascii="Garamond" w:eastAsia="Garamond" w:hAnsi="Garamond" w:cs="Garamond"/>
          <w:b/>
          <w:sz w:val="24"/>
          <w:szCs w:val="24"/>
        </w:rPr>
        <w:tab/>
        <w:t xml:space="preserve">codice fiscale 94134560302 </w:t>
      </w:r>
      <w:hyperlink r:id="rId7">
        <w:r>
          <w:rPr>
            <w:rFonts w:ascii="Garamond" w:eastAsia="Garamond" w:hAnsi="Garamond" w:cs="Garamond"/>
            <w:b/>
            <w:color w:val="0000FF"/>
            <w:sz w:val="24"/>
            <w:szCs w:val="24"/>
            <w:u w:val="single"/>
          </w:rPr>
          <w:t>www.isismagrinimarchetti.i</w:t>
        </w:r>
      </w:hyperlink>
      <w:r>
        <w:rPr>
          <w:rFonts w:ascii="Garamond" w:eastAsia="Garamond" w:hAnsi="Garamond" w:cs="Garamond"/>
          <w:b/>
          <w:color w:val="0000FF"/>
          <w:sz w:val="24"/>
          <w:szCs w:val="24"/>
          <w:u w:val="single"/>
        </w:rPr>
        <w:t>t</w:t>
      </w:r>
      <w:r>
        <w:rPr>
          <w:rFonts w:ascii="Garamond" w:eastAsia="Garamond" w:hAnsi="Garamond" w:cs="Garamond"/>
          <w:b/>
          <w:color w:val="0000FF"/>
          <w:sz w:val="24"/>
          <w:szCs w:val="24"/>
          <w:u w:val="single"/>
        </w:rPr>
        <w:tab/>
      </w:r>
      <w:hyperlink r:id="rId8">
        <w:r>
          <w:rPr>
            <w:rFonts w:ascii="Garamond" w:eastAsia="Garamond" w:hAnsi="Garamond" w:cs="Garamond"/>
            <w:b/>
            <w:color w:val="0000FF"/>
            <w:sz w:val="24"/>
            <w:szCs w:val="24"/>
            <w:u w:val="single"/>
          </w:rPr>
          <w:t>udis01800d@istruzione.i</w:t>
        </w:r>
      </w:hyperlink>
      <w:r>
        <w:rPr>
          <w:rFonts w:ascii="Garamond" w:eastAsia="Garamond" w:hAnsi="Garamond" w:cs="Garamond"/>
          <w:b/>
          <w:color w:val="0000FF"/>
          <w:sz w:val="24"/>
          <w:szCs w:val="24"/>
          <w:u w:val="single"/>
        </w:rPr>
        <w:t>t</w:t>
      </w:r>
      <w:r>
        <w:rPr>
          <w:rFonts w:ascii="Garamond" w:eastAsia="Garamond" w:hAnsi="Garamond" w:cs="Garamond"/>
          <w:b/>
          <w:color w:val="0000FF"/>
          <w:sz w:val="24"/>
          <w:szCs w:val="24"/>
          <w:u w:val="single"/>
        </w:rPr>
        <w:tab/>
      </w:r>
      <w:hyperlink r:id="rId9">
        <w:r>
          <w:rPr>
            <w:rFonts w:ascii="Garamond" w:eastAsia="Garamond" w:hAnsi="Garamond" w:cs="Garamond"/>
            <w:b/>
            <w:color w:val="0000FF"/>
            <w:sz w:val="24"/>
            <w:szCs w:val="24"/>
            <w:u w:val="single"/>
          </w:rPr>
          <w:t>udis01800d@pec.istruzione.it</w:t>
        </w:r>
      </w:hyperlink>
    </w:p>
    <w:p w14:paraId="73911D18" w14:textId="77777777" w:rsidR="00B70876" w:rsidRDefault="00B708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Garamond" w:eastAsia="Garamond" w:hAnsi="Garamond" w:cs="Garamond"/>
          <w:b/>
          <w:color w:val="000000"/>
          <w:sz w:val="24"/>
          <w:szCs w:val="24"/>
        </w:rPr>
      </w:pPr>
    </w:p>
    <w:p w14:paraId="21160800" w14:textId="77777777" w:rsidR="00B70876" w:rsidRDefault="00B708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aramond" w:eastAsia="Garamond" w:hAnsi="Garamond" w:cs="Garamond"/>
          <w:b/>
          <w:color w:val="000000"/>
          <w:sz w:val="20"/>
          <w:szCs w:val="20"/>
        </w:rPr>
      </w:pPr>
    </w:p>
    <w:p w14:paraId="653D993A" w14:textId="77777777" w:rsidR="00B70876" w:rsidRDefault="00B708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aramond" w:eastAsia="Garamond" w:hAnsi="Garamond" w:cs="Garamond"/>
          <w:b/>
          <w:color w:val="000000"/>
          <w:sz w:val="20"/>
          <w:szCs w:val="20"/>
        </w:rPr>
      </w:pPr>
    </w:p>
    <w:p w14:paraId="072C2CE0" w14:textId="77777777" w:rsidR="00B70876" w:rsidRDefault="00B708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1" w:after="0" w:line="240" w:lineRule="auto"/>
        <w:rPr>
          <w:rFonts w:ascii="Garamond" w:eastAsia="Garamond" w:hAnsi="Garamond" w:cs="Garamond"/>
          <w:b/>
          <w:color w:val="000000"/>
          <w:sz w:val="16"/>
          <w:szCs w:val="16"/>
        </w:rPr>
      </w:pPr>
    </w:p>
    <w:p w14:paraId="44C248F1" w14:textId="77777777" w:rsidR="00B70876" w:rsidRDefault="00000000">
      <w:pPr>
        <w:spacing w:line="651" w:lineRule="auto"/>
        <w:ind w:left="138"/>
        <w:jc w:val="center"/>
        <w:rPr>
          <w:rFonts w:ascii="Garamond" w:eastAsia="Garamond" w:hAnsi="Garamond" w:cs="Garamond"/>
          <w:sz w:val="40"/>
          <w:szCs w:val="40"/>
        </w:rPr>
      </w:pPr>
      <w:r>
        <w:rPr>
          <w:rFonts w:ascii="Garamond" w:eastAsia="Garamond" w:hAnsi="Garamond" w:cs="Garamond"/>
          <w:sz w:val="40"/>
          <w:szCs w:val="40"/>
        </w:rPr>
        <w:t>D I P A R T I M E N T O</w:t>
      </w:r>
    </w:p>
    <w:p w14:paraId="6C752EE6" w14:textId="77777777" w:rsidR="00B70876" w:rsidRDefault="00000000">
      <w:pPr>
        <w:spacing w:line="911" w:lineRule="auto"/>
        <w:ind w:left="203"/>
        <w:jc w:val="center"/>
        <w:rPr>
          <w:rFonts w:ascii="Garamond" w:eastAsia="Garamond" w:hAnsi="Garamond" w:cs="Garamond"/>
          <w:sz w:val="40"/>
          <w:szCs w:val="40"/>
        </w:rPr>
      </w:pPr>
      <w:r>
        <w:rPr>
          <w:rFonts w:ascii="Garamond" w:eastAsia="Garamond" w:hAnsi="Garamond" w:cs="Garamond"/>
          <w:sz w:val="40"/>
          <w:szCs w:val="40"/>
        </w:rPr>
        <w:t>GIURIDICO ECONOMICO</w:t>
      </w:r>
    </w:p>
    <w:p w14:paraId="6695163A" w14:textId="77777777" w:rsidR="00B70876" w:rsidRDefault="00B708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aramond" w:eastAsia="Garamond" w:hAnsi="Garamond" w:cs="Garamond"/>
          <w:color w:val="000000"/>
          <w:sz w:val="44"/>
          <w:szCs w:val="44"/>
        </w:rPr>
      </w:pPr>
    </w:p>
    <w:p w14:paraId="0082A5D6" w14:textId="77777777" w:rsidR="00B70876" w:rsidRDefault="00B708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" w:after="0" w:line="240" w:lineRule="auto"/>
        <w:rPr>
          <w:rFonts w:ascii="Garamond" w:eastAsia="Garamond" w:hAnsi="Garamond" w:cs="Garamond"/>
          <w:color w:val="000000"/>
          <w:sz w:val="33"/>
          <w:szCs w:val="33"/>
        </w:rPr>
      </w:pPr>
    </w:p>
    <w:p w14:paraId="2F20B266" w14:textId="6C06A8AE" w:rsidR="00B70876" w:rsidRDefault="00000000">
      <w:pPr>
        <w:ind w:left="140"/>
        <w:jc w:val="center"/>
        <w:rPr>
          <w:rFonts w:ascii="Garamond" w:eastAsia="Garamond" w:hAnsi="Garamond" w:cs="Garamond"/>
          <w:sz w:val="40"/>
          <w:szCs w:val="40"/>
        </w:rPr>
      </w:pPr>
      <w:r>
        <w:rPr>
          <w:rFonts w:ascii="Garamond" w:eastAsia="Garamond" w:hAnsi="Garamond" w:cs="Garamond"/>
          <w:sz w:val="40"/>
          <w:szCs w:val="40"/>
        </w:rPr>
        <w:t xml:space="preserve">C U R </w:t>
      </w:r>
      <w:proofErr w:type="spellStart"/>
      <w:r>
        <w:rPr>
          <w:rFonts w:ascii="Garamond" w:eastAsia="Garamond" w:hAnsi="Garamond" w:cs="Garamond"/>
          <w:sz w:val="40"/>
          <w:szCs w:val="40"/>
        </w:rPr>
        <w:t>R</w:t>
      </w:r>
      <w:proofErr w:type="spellEnd"/>
      <w:r>
        <w:rPr>
          <w:rFonts w:ascii="Garamond" w:eastAsia="Garamond" w:hAnsi="Garamond" w:cs="Garamond"/>
          <w:sz w:val="40"/>
          <w:szCs w:val="40"/>
        </w:rPr>
        <w:t xml:space="preserve"> I C O L O </w:t>
      </w:r>
      <w:r w:rsidR="00001397">
        <w:rPr>
          <w:rFonts w:ascii="Garamond" w:eastAsia="Garamond" w:hAnsi="Garamond" w:cs="Garamond"/>
          <w:sz w:val="40"/>
          <w:szCs w:val="40"/>
        </w:rPr>
        <w:t xml:space="preserve">  </w:t>
      </w:r>
      <w:r>
        <w:rPr>
          <w:rFonts w:ascii="Garamond" w:eastAsia="Garamond" w:hAnsi="Garamond" w:cs="Garamond"/>
          <w:sz w:val="40"/>
          <w:szCs w:val="40"/>
        </w:rPr>
        <w:t xml:space="preserve">Q U I N T </w:t>
      </w:r>
      <w:proofErr w:type="gramStart"/>
      <w:r>
        <w:rPr>
          <w:rFonts w:ascii="Garamond" w:eastAsia="Garamond" w:hAnsi="Garamond" w:cs="Garamond"/>
          <w:sz w:val="40"/>
          <w:szCs w:val="40"/>
        </w:rPr>
        <w:t xml:space="preserve">O </w:t>
      </w:r>
      <w:r w:rsidR="00001397">
        <w:rPr>
          <w:rFonts w:ascii="Garamond" w:eastAsia="Garamond" w:hAnsi="Garamond" w:cs="Garamond"/>
          <w:sz w:val="40"/>
          <w:szCs w:val="40"/>
        </w:rPr>
        <w:t xml:space="preserve"> </w:t>
      </w:r>
      <w:r>
        <w:rPr>
          <w:rFonts w:ascii="Garamond" w:eastAsia="Garamond" w:hAnsi="Garamond" w:cs="Garamond"/>
          <w:sz w:val="40"/>
          <w:szCs w:val="40"/>
        </w:rPr>
        <w:t>A</w:t>
      </w:r>
      <w:proofErr w:type="gramEnd"/>
      <w:r>
        <w:rPr>
          <w:rFonts w:ascii="Garamond" w:eastAsia="Garamond" w:hAnsi="Garamond" w:cs="Garamond"/>
          <w:sz w:val="40"/>
          <w:szCs w:val="40"/>
        </w:rPr>
        <w:t xml:space="preserve"> N </w:t>
      </w:r>
      <w:proofErr w:type="spellStart"/>
      <w:r>
        <w:rPr>
          <w:rFonts w:ascii="Garamond" w:eastAsia="Garamond" w:hAnsi="Garamond" w:cs="Garamond"/>
          <w:sz w:val="40"/>
          <w:szCs w:val="40"/>
        </w:rPr>
        <w:t>N</w:t>
      </w:r>
      <w:proofErr w:type="spellEnd"/>
      <w:r>
        <w:rPr>
          <w:rFonts w:ascii="Garamond" w:eastAsia="Garamond" w:hAnsi="Garamond" w:cs="Garamond"/>
          <w:sz w:val="40"/>
          <w:szCs w:val="40"/>
        </w:rPr>
        <w:t xml:space="preserve"> O</w:t>
      </w:r>
    </w:p>
    <w:p w14:paraId="1468BA9E" w14:textId="77777777" w:rsidR="00B70876" w:rsidRDefault="00B7087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aramond" w:eastAsia="Garamond" w:hAnsi="Garamond" w:cs="Garamond"/>
          <w:color w:val="000000"/>
          <w:sz w:val="44"/>
          <w:szCs w:val="44"/>
        </w:rPr>
      </w:pPr>
    </w:p>
    <w:p w14:paraId="10CBE9EC" w14:textId="77777777" w:rsidR="00B70876" w:rsidRDefault="00B7087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" w:after="0" w:line="240" w:lineRule="auto"/>
        <w:rPr>
          <w:rFonts w:ascii="Garamond" w:eastAsia="Garamond" w:hAnsi="Garamond" w:cs="Garamond"/>
          <w:color w:val="000000"/>
          <w:sz w:val="52"/>
          <w:szCs w:val="52"/>
        </w:rPr>
      </w:pPr>
    </w:p>
    <w:p w14:paraId="338730D1" w14:textId="65004FB2" w:rsidR="00B70876" w:rsidRDefault="00000000">
      <w:pPr>
        <w:spacing w:line="400" w:lineRule="auto"/>
        <w:ind w:left="114"/>
        <w:rPr>
          <w:rFonts w:ascii="Garamond" w:eastAsia="Garamond" w:hAnsi="Garamond" w:cs="Garamond"/>
          <w:sz w:val="36"/>
          <w:szCs w:val="36"/>
        </w:rPr>
      </w:pPr>
      <w:r>
        <w:rPr>
          <w:rFonts w:ascii="Garamond" w:eastAsia="Garamond" w:hAnsi="Garamond" w:cs="Garamond"/>
          <w:sz w:val="36"/>
          <w:szCs w:val="36"/>
        </w:rPr>
        <w:t xml:space="preserve">Settore </w:t>
      </w:r>
      <w:r w:rsidR="00001397">
        <w:rPr>
          <w:rFonts w:ascii="Garamond" w:eastAsia="Garamond" w:hAnsi="Garamond" w:cs="Garamond"/>
          <w:sz w:val="36"/>
          <w:szCs w:val="36"/>
        </w:rPr>
        <w:t>TECNICO</w:t>
      </w:r>
      <w:r>
        <w:rPr>
          <w:rFonts w:ascii="Garamond" w:eastAsia="Garamond" w:hAnsi="Garamond" w:cs="Garamond"/>
          <w:sz w:val="36"/>
          <w:szCs w:val="36"/>
        </w:rPr>
        <w:t>:</w:t>
      </w:r>
    </w:p>
    <w:p w14:paraId="75330DB6" w14:textId="77777777" w:rsidR="00B70876" w:rsidRDefault="00000000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34"/>
          <w:tab w:val="left" w:pos="835"/>
        </w:tabs>
        <w:spacing w:after="0" w:line="618" w:lineRule="auto"/>
        <w:ind w:hanging="361"/>
        <w:rPr>
          <w:rFonts w:ascii="Garamond" w:eastAsia="Garamond" w:hAnsi="Garamond" w:cs="Garamond"/>
          <w:color w:val="000000"/>
          <w:sz w:val="36"/>
          <w:szCs w:val="36"/>
        </w:rPr>
      </w:pPr>
      <w:r>
        <w:rPr>
          <w:rFonts w:ascii="Garamond" w:eastAsia="Garamond" w:hAnsi="Garamond" w:cs="Garamond"/>
          <w:color w:val="000000"/>
          <w:sz w:val="36"/>
          <w:szCs w:val="36"/>
        </w:rPr>
        <w:t xml:space="preserve">articolazione  </w:t>
      </w:r>
      <w:r w:rsidR="00001397">
        <w:rPr>
          <w:rFonts w:ascii="Garamond" w:eastAsia="Garamond" w:hAnsi="Garamond" w:cs="Garamond"/>
          <w:color w:val="000000"/>
          <w:sz w:val="36"/>
          <w:szCs w:val="36"/>
        </w:rPr>
        <w:t xml:space="preserve"> RELAZIONI INTERNAZIONALI PER IL MARKETIN</w:t>
      </w:r>
      <w:r w:rsidR="00EF3471">
        <w:rPr>
          <w:rFonts w:ascii="Garamond" w:eastAsia="Garamond" w:hAnsi="Garamond" w:cs="Garamond"/>
          <w:color w:val="000000"/>
          <w:sz w:val="36"/>
          <w:szCs w:val="36"/>
        </w:rPr>
        <w:t>G</w:t>
      </w:r>
    </w:p>
    <w:p w14:paraId="5C7656FB" w14:textId="77777777" w:rsidR="001B525A" w:rsidRDefault="001B525A" w:rsidP="001B525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34"/>
          <w:tab w:val="left" w:pos="835"/>
        </w:tabs>
        <w:spacing w:after="0" w:line="618" w:lineRule="auto"/>
        <w:rPr>
          <w:rFonts w:ascii="Garamond" w:eastAsia="Garamond" w:hAnsi="Garamond" w:cs="Garamond"/>
          <w:color w:val="000000"/>
          <w:sz w:val="36"/>
          <w:szCs w:val="36"/>
        </w:rPr>
      </w:pPr>
    </w:p>
    <w:p w14:paraId="197A9EEA" w14:textId="12918C88" w:rsidR="001B525A" w:rsidRPr="001B525A" w:rsidRDefault="001B525A" w:rsidP="001B525A">
      <w:pPr>
        <w:pStyle w:val="Paragrafoelenco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34"/>
          <w:tab w:val="left" w:pos="835"/>
        </w:tabs>
        <w:spacing w:line="618" w:lineRule="auto"/>
        <w:rPr>
          <w:color w:val="000000"/>
          <w:sz w:val="36"/>
          <w:szCs w:val="36"/>
        </w:rPr>
        <w:sectPr w:rsidR="001B525A" w:rsidRPr="001B525A">
          <w:pgSz w:w="11900" w:h="16850"/>
          <w:pgMar w:top="980" w:right="660" w:bottom="280" w:left="560" w:header="720" w:footer="720" w:gutter="0"/>
          <w:pgNumType w:start="1"/>
          <w:cols w:space="720"/>
        </w:sectPr>
      </w:pPr>
    </w:p>
    <w:p w14:paraId="37E69F72" w14:textId="77777777" w:rsidR="00B70876" w:rsidRDefault="00B70876">
      <w:pPr>
        <w:jc w:val="both"/>
      </w:pPr>
    </w:p>
    <w:p w14:paraId="3AD09563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,Bold" w:hAnsi="Garamond,Bold" w:cs="Garamond,Bold"/>
          <w:b/>
          <w:bCs/>
          <w:color w:val="000000"/>
          <w:sz w:val="24"/>
          <w:szCs w:val="24"/>
        </w:rPr>
      </w:pPr>
      <w:r>
        <w:rPr>
          <w:rFonts w:ascii="Garamond,Bold" w:hAnsi="Garamond,Bold" w:cs="Garamond,Bold"/>
          <w:b/>
          <w:bCs/>
          <w:color w:val="000000"/>
          <w:sz w:val="24"/>
          <w:szCs w:val="24"/>
        </w:rPr>
        <w:t>Premessa</w:t>
      </w:r>
    </w:p>
    <w:p w14:paraId="6EFFBD8B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 xml:space="preserve">Il diritto e l’economia nel quinto </w:t>
      </w:r>
      <w:proofErr w:type="gramStart"/>
      <w:r>
        <w:rPr>
          <w:rFonts w:ascii="Garamond" w:hAnsi="Garamond" w:cs="Garamond"/>
          <w:color w:val="000000"/>
          <w:sz w:val="24"/>
          <w:szCs w:val="24"/>
        </w:rPr>
        <w:t>anno  sviluppano</w:t>
      </w:r>
      <w:proofErr w:type="gramEnd"/>
      <w:r>
        <w:rPr>
          <w:rFonts w:ascii="Garamond" w:hAnsi="Garamond" w:cs="Garamond"/>
          <w:color w:val="000000"/>
          <w:sz w:val="24"/>
          <w:szCs w:val="24"/>
        </w:rPr>
        <w:t xml:space="preserve"> le competenze del vivere civile e del</w:t>
      </w:r>
    </w:p>
    <w:p w14:paraId="641781BE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rispetto delle regole sia nell’ambito delle comunità di appartenenza che quelle proprie dell’ordinamento</w:t>
      </w:r>
    </w:p>
    <w:p w14:paraId="74D946CA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giuridico italiano.</w:t>
      </w:r>
    </w:p>
    <w:p w14:paraId="4E7D9B62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Nel biennio il diritto e l’economia sono parte dell’asse storico-sociale di cui alle competenze da</w:t>
      </w:r>
    </w:p>
    <w:p w14:paraId="43BEDCF0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certificare alla fine del primo biennio. L’asse storico-sociale contribuisce alla comprensione critica della</w:t>
      </w:r>
    </w:p>
    <w:p w14:paraId="0C2EB0F7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dimensione culturale dell’evoluzione scientifico-tecnologica e sviluppa il rapporto fra le discipline</w:t>
      </w:r>
    </w:p>
    <w:p w14:paraId="7647BC09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tecniche e l’insegnamento della storia.</w:t>
      </w:r>
    </w:p>
    <w:p w14:paraId="390589F9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Nel secondo biennio e nel quinto anno il diritto e l’economia perseguono il raggiungimento dei</w:t>
      </w:r>
    </w:p>
    <w:p w14:paraId="248AF418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seguenti risultati di apprendimento relativi al profilo educativo, culturale e professionale: agire in base</w:t>
      </w:r>
    </w:p>
    <w:p w14:paraId="01C30002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ad un sistema di valori coerenti con i principi della Costituzione, a partire dai quali saper valutare fatti e</w:t>
      </w:r>
    </w:p>
    <w:p w14:paraId="30E4048D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ispirare i propri comportamenti personali e sociali; riconoscere la varietà e lo sviluppo storico delle</w:t>
      </w:r>
    </w:p>
    <w:p w14:paraId="368F5511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forme economiche, sociali e istituzionali attraverso le categorie di sintesi fornite dall’economia e dal</w:t>
      </w:r>
    </w:p>
    <w:p w14:paraId="33BF2E5D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diritto; riconoscere l’interdipendenza tra fenomeni economici, sociali, istituzionali, culturali e la loro</w:t>
      </w:r>
    </w:p>
    <w:p w14:paraId="486280AC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dimensione locale/globale; orientarsi nella normativa pubblicistica, civilistica e fiscale; utilizzare le reti e</w:t>
      </w:r>
    </w:p>
    <w:p w14:paraId="05EF2CFD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gli strumenti informatici nelle attività di studio, ricerca e approfondimento disciplinare.</w:t>
      </w:r>
    </w:p>
    <w:p w14:paraId="439DABF8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Garamond"/>
          <w:color w:val="000000"/>
          <w:sz w:val="24"/>
          <w:szCs w:val="24"/>
        </w:rPr>
      </w:pPr>
    </w:p>
    <w:p w14:paraId="1E66F84D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14:paraId="6F5052D3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,Bold" w:hAnsi="Garamond,Bold" w:cs="Garamond,Bold"/>
          <w:b/>
          <w:bCs/>
        </w:rPr>
      </w:pPr>
      <w:r>
        <w:rPr>
          <w:rFonts w:ascii="Garamond,Bold" w:hAnsi="Garamond,Bold" w:cs="Garamond,Bold"/>
          <w:b/>
          <w:bCs/>
        </w:rPr>
        <w:t xml:space="preserve">DISCIPLINA: ECONOMIA PUBBLICA </w:t>
      </w:r>
    </w:p>
    <w:p w14:paraId="778652F9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>Risultati di apprendimento relativi al profilo educativo, culturale e professionale (quinquennio):</w:t>
      </w:r>
    </w:p>
    <w:p w14:paraId="772A1111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agire in base ad un sistema di valori coerenti con i principi della Costituzione, a partire dai quali saper</w:t>
      </w:r>
    </w:p>
    <w:p w14:paraId="23DDA7B2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>valutare fatti e ispirare i propri comportamenti personali e sociali</w:t>
      </w:r>
    </w:p>
    <w:p w14:paraId="09772E82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riconoscere la varietà e lo sviluppo storico delle forme economiche, sociali e istituzionali attraverso le</w:t>
      </w:r>
    </w:p>
    <w:p w14:paraId="3C3FF8B5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>categorie di sintesi fornite dall’economia e dal diritto</w:t>
      </w:r>
    </w:p>
    <w:p w14:paraId="7D351C87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riconoscere l’interdipendenza tra fenomeni economici, sociali, istituzionali, culturali e la loro dimensione</w:t>
      </w:r>
    </w:p>
    <w:p w14:paraId="79947301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>locale/globale</w:t>
      </w:r>
    </w:p>
    <w:p w14:paraId="4F0CF941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analizzare i problemi scientifici, etici, giuridici e sociali connessi agli strumenti culturali acquisiti</w:t>
      </w:r>
    </w:p>
    <w:p w14:paraId="3FC31140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Risultati di apprendimento espressi in termini di competenza:</w:t>
      </w:r>
    </w:p>
    <w:p w14:paraId="39798789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riconoscere gli aspetti geografici, ecologici, territoriali dell’ambiente naturale ed antropico, le connessioni</w:t>
      </w:r>
    </w:p>
    <w:p w14:paraId="065170F5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>con le strutture demografiche, economiche, sociali, culturali e le trasformazioni intervenute nel corso del</w:t>
      </w:r>
    </w:p>
    <w:p w14:paraId="7D6726D7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>tempo</w:t>
      </w:r>
    </w:p>
    <w:p w14:paraId="7949FD03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identificare e applicare le metodologie e le tecniche della gestione per progetti</w:t>
      </w:r>
    </w:p>
    <w:p w14:paraId="267C667C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redigere relazioni tecniche e documentare le attività individuali e di gruppo relative a situazioni</w:t>
      </w:r>
    </w:p>
    <w:p w14:paraId="0D746968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>professionali</w:t>
      </w:r>
    </w:p>
    <w:p w14:paraId="45FC83C3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riconoscere e interpretare:</w:t>
      </w:r>
    </w:p>
    <w:p w14:paraId="0357A689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le tendenze dei mercati locali, nazionali e globali anche per coglierne le ripercussioni in un dato</w:t>
      </w:r>
    </w:p>
    <w:p w14:paraId="549C8F50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>contesto</w:t>
      </w:r>
    </w:p>
    <w:p w14:paraId="1532DD16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i cambiamenti dei sistemi economici nella dimensione diacronica attraverso il confronto fra epoche</w:t>
      </w:r>
    </w:p>
    <w:p w14:paraId="5B58537B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>storiche e nella dimensione sincronica attraverso il confronto fra aree geografiche e culture diverse</w:t>
      </w:r>
    </w:p>
    <w:p w14:paraId="66878241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riconoscere i diversi modelli organizzativi aziendali, documentare le procedure e ricercare soluzioni</w:t>
      </w:r>
    </w:p>
    <w:p w14:paraId="779CD904" w14:textId="77777777" w:rsid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Garamond" w:hAnsi="Garamond" w:cs="Garamond"/>
          <w:sz w:val="24"/>
          <w:szCs w:val="24"/>
        </w:rPr>
        <w:t>efficaci rispetto a situazioni date</w:t>
      </w:r>
    </w:p>
    <w:p w14:paraId="75D4AC39" w14:textId="7BC3AC4F" w:rsidR="00B70876" w:rsidRPr="00001397" w:rsidRDefault="00001397" w:rsidP="00001397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Garamond" w:hAnsi="Garamond" w:cs="Garamond"/>
          <w:sz w:val="24"/>
          <w:szCs w:val="24"/>
        </w:rPr>
        <w:t>inquadrare l’attività di marketing nel ciclo di vita dell’azienda e realizzare applicazioni con riferimento a specifici contesti e diverse politiche di mercato</w:t>
      </w:r>
    </w:p>
    <w:p w14:paraId="6A1F1F48" w14:textId="7D9BCB5B" w:rsidR="00B70876" w:rsidRDefault="00B70876" w:rsidP="002A01C3"/>
    <w:p w14:paraId="368876B4" w14:textId="2C3EB6A0" w:rsidR="00EF3471" w:rsidRDefault="00EF3471">
      <w:pPr>
        <w:jc w:val="both"/>
      </w:pPr>
    </w:p>
    <w:p w14:paraId="72F4586C" w14:textId="2457730C" w:rsidR="00EF3471" w:rsidRPr="00EF3471" w:rsidRDefault="00EF3471">
      <w:pPr>
        <w:jc w:val="both"/>
        <w:rPr>
          <w:b/>
          <w:bCs/>
          <w:sz w:val="36"/>
          <w:szCs w:val="36"/>
        </w:rPr>
      </w:pPr>
      <w:r w:rsidRPr="00EF3471">
        <w:rPr>
          <w:b/>
          <w:bCs/>
          <w:sz w:val="36"/>
          <w:szCs w:val="36"/>
        </w:rPr>
        <w:t xml:space="preserve">CURRICOLO DI RELAZIONI INTERNAZIONALI </w:t>
      </w:r>
    </w:p>
    <w:p w14:paraId="19B097C8" w14:textId="77777777" w:rsidR="00EF3471" w:rsidRDefault="00EF3471">
      <w:pPr>
        <w:jc w:val="both"/>
      </w:pPr>
    </w:p>
    <w:tbl>
      <w:tblPr>
        <w:tblW w:w="95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7"/>
        <w:gridCol w:w="1587"/>
        <w:gridCol w:w="1701"/>
        <w:gridCol w:w="3687"/>
      </w:tblGrid>
      <w:tr w:rsidR="002A01C3" w:rsidRPr="002A01C3" w14:paraId="61447A9D" w14:textId="77777777" w:rsidTr="002A01C3">
        <w:trPr>
          <w:trHeight w:hRule="exact" w:val="397"/>
        </w:trPr>
        <w:tc>
          <w:tcPr>
            <w:tcW w:w="1134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6A557454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Modulo</w:t>
            </w:r>
          </w:p>
        </w:tc>
        <w:tc>
          <w:tcPr>
            <w:tcW w:w="1417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6B5CBC10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Prerequisiti</w:t>
            </w:r>
          </w:p>
        </w:tc>
        <w:tc>
          <w:tcPr>
            <w:tcW w:w="1587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5FA7B430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Competenze</w:t>
            </w:r>
          </w:p>
        </w:tc>
        <w:tc>
          <w:tcPr>
            <w:tcW w:w="1701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3FB87160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 xml:space="preserve">Conoscenze </w:t>
            </w:r>
          </w:p>
        </w:tc>
        <w:tc>
          <w:tcPr>
            <w:tcW w:w="3687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21E244D9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Abilità</w:t>
            </w:r>
          </w:p>
        </w:tc>
      </w:tr>
      <w:tr w:rsidR="002A01C3" w:rsidRPr="002A01C3" w14:paraId="1BFBC8B1" w14:textId="77777777" w:rsidTr="002A01C3">
        <w:trPr>
          <w:trHeight w:val="1701"/>
        </w:trPr>
        <w:tc>
          <w:tcPr>
            <w:tcW w:w="1134" w:type="dxa"/>
            <w:tcMar>
              <w:top w:w="85" w:type="dxa"/>
            </w:tcMar>
          </w:tcPr>
          <w:p w14:paraId="1B20D69E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1. Il soggetto pubblico nell’economia</w:t>
            </w:r>
          </w:p>
        </w:tc>
        <w:tc>
          <w:tcPr>
            <w:tcW w:w="1417" w:type="dxa"/>
            <w:tcMar>
              <w:top w:w="85" w:type="dxa"/>
            </w:tcMar>
          </w:tcPr>
          <w:p w14:paraId="55D62F5B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 xml:space="preserve">Conoscenza dei principi generali </w:t>
            </w:r>
          </w:p>
          <w:p w14:paraId="14E3AC99" w14:textId="0E2D59EE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di micro e macroeconomia</w:t>
            </w:r>
          </w:p>
          <w:p w14:paraId="7CDFCA50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7D612AB1" w14:textId="30614A83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 xml:space="preserve">Conoscenza del linguaggio economico di base </w:t>
            </w:r>
          </w:p>
          <w:p w14:paraId="1F74495A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13AFC296" w14:textId="4B2EB94B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Conoscenza delle principali fonti della informazione economica</w:t>
            </w:r>
          </w:p>
          <w:p w14:paraId="5A87438B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58C8B8C0" w14:textId="12370869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Conoscenza degli strumenti di rappresentazione dei fenomeni economici</w:t>
            </w:r>
          </w:p>
          <w:p w14:paraId="644A609C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276489CC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Conoscenza degli organi istituzionali degli ordinamenti democratici contemporanei</w:t>
            </w:r>
          </w:p>
        </w:tc>
        <w:tc>
          <w:tcPr>
            <w:tcW w:w="1587" w:type="dxa"/>
            <w:tcMar>
              <w:top w:w="85" w:type="dxa"/>
            </w:tcMar>
          </w:tcPr>
          <w:p w14:paraId="57072E1A" w14:textId="146930EB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Saper riconoscere e interpretare l’azione del soggetto pubblico nel sistema economico, cogliendone gli obiettivi prefissati</w:t>
            </w:r>
          </w:p>
          <w:p w14:paraId="22865E98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498070DD" w14:textId="17E7C20A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Comprendere le ripercussioni di natura economica, sociale e politica che conseguono alle scelte di politica economica</w:t>
            </w:r>
          </w:p>
          <w:p w14:paraId="310BC4CA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5F76AAD2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Comprendere la funzione svolta dal soggetto pubblico a favore delle imprese e dell’economia di mercato.</w:t>
            </w:r>
          </w:p>
        </w:tc>
        <w:tc>
          <w:tcPr>
            <w:tcW w:w="1701" w:type="dxa"/>
            <w:tcMar>
              <w:top w:w="85" w:type="dxa"/>
            </w:tcMar>
          </w:tcPr>
          <w:p w14:paraId="668420A4" w14:textId="2B8933FA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Conoscere il ruolo svolto dal soggetto pubblico nei diversi sistemi economici</w:t>
            </w:r>
          </w:p>
          <w:p w14:paraId="499BD94F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75E5120F" w14:textId="7AEC7D38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Conoscere le diverse funzioni assegnate alla finanza pubblica</w:t>
            </w:r>
          </w:p>
          <w:p w14:paraId="5D8CBF29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6FF2CB86" w14:textId="7B8E5E6F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Conoscere le modalità di intervento del soggetto pubblico nel sistema economico</w:t>
            </w:r>
          </w:p>
          <w:p w14:paraId="1FC9C0A9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5076BA1B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Conoscere i diversi soggetti coinvolti nell’attività finanziaria pubblica</w:t>
            </w:r>
          </w:p>
          <w:p w14:paraId="75CE8355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0E9158CE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7908934D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5907E137" w14:textId="19F0E272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Conoscere i diversi tipi di beni pubblici</w:t>
            </w:r>
          </w:p>
          <w:p w14:paraId="492BFB17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1E57D8B8" w14:textId="374C8CBB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Conoscere le diverse forme di impresa pubblica</w:t>
            </w:r>
          </w:p>
          <w:p w14:paraId="0EBFA094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2B21C73D" w14:textId="687FFB8B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Conoscere i processi di privatizzazione in atto</w:t>
            </w:r>
          </w:p>
          <w:p w14:paraId="10E20307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49E53212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Conoscere i principali strumenti di regolamentazione pubblica del mercato</w:t>
            </w:r>
          </w:p>
          <w:p w14:paraId="78BEBE3E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48954B55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2277CAA1" w14:textId="499ADCDD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Conoscere i diversi momenti della politica economica</w:t>
            </w:r>
          </w:p>
          <w:p w14:paraId="5517E266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68A558A7" w14:textId="10555446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 xml:space="preserve">Conoscere gli strumenti della politica economica </w:t>
            </w:r>
          </w:p>
          <w:p w14:paraId="348EC684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2A46FA87" w14:textId="64627B8F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Conoscere gli obiettivi della politica economica</w:t>
            </w:r>
          </w:p>
          <w:p w14:paraId="312B1356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0005CA30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Conoscere l’influenza della UE nella politica economica</w:t>
            </w:r>
          </w:p>
        </w:tc>
        <w:tc>
          <w:tcPr>
            <w:tcW w:w="3687" w:type="dxa"/>
            <w:tcMar>
              <w:top w:w="85" w:type="dxa"/>
            </w:tcMar>
          </w:tcPr>
          <w:p w14:paraId="792A4F4D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Saper confrontare il ruolo della finanza pubblica nei diversi modelli teorici e nei differenti sistemi economici</w:t>
            </w:r>
          </w:p>
          <w:p w14:paraId="67314232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Saper distinguere gli interventi di politica economica in relazione allo scopo desiderato</w:t>
            </w:r>
          </w:p>
          <w:p w14:paraId="67C55E4A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 xml:space="preserve">Saper distinguere i diversi modi di intervento pubblico nell’economia </w:t>
            </w:r>
          </w:p>
          <w:p w14:paraId="19BF2CD4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 xml:space="preserve">Saper distinguere i soggetti pubblici economici </w:t>
            </w:r>
          </w:p>
          <w:p w14:paraId="562782BA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44CEFEE0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5414A107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Saper confrontare pregi e difetti della presenza pubblica sul mercato</w:t>
            </w:r>
          </w:p>
          <w:p w14:paraId="36727896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Saper riconoscere gli interventi pubblici in relazione al favore per il libero mercato</w:t>
            </w:r>
          </w:p>
          <w:p w14:paraId="6088F3AC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Saper distinguere i diversi tipi di beni pubblici e le diverse forme di impresa pubblica.</w:t>
            </w:r>
          </w:p>
          <w:p w14:paraId="00F8FDE2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6B3065E5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</w:p>
          <w:p w14:paraId="3AC1F522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Saper riconoscere le politiche economiche espansive e restrittive</w:t>
            </w:r>
          </w:p>
          <w:p w14:paraId="3DE5F0CB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Saper cogliere gli effetti delle politiche monetarie</w:t>
            </w:r>
          </w:p>
          <w:p w14:paraId="3953749D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e valutarie</w:t>
            </w:r>
          </w:p>
          <w:p w14:paraId="51AD6ED8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Saper riconoscere gli interventi di breve e di lungo periodo</w:t>
            </w:r>
          </w:p>
          <w:p w14:paraId="05823D13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Saper riconoscere gli interventi di contrasto dell’inflazione e della disoccupazione.</w:t>
            </w:r>
          </w:p>
          <w:p w14:paraId="706DA4E4" w14:textId="77777777" w:rsidR="002A01C3" w:rsidRP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4"/>
                <w:szCs w:val="14"/>
              </w:rPr>
            </w:pPr>
            <w:r w:rsidRPr="002A01C3">
              <w:rPr>
                <w:rFonts w:ascii="Arial" w:eastAsia="Times New Roman" w:hAnsi="Arial" w:cs="Arial"/>
                <w:sz w:val="14"/>
                <w:szCs w:val="14"/>
              </w:rPr>
              <w:t>Saper riconoscere gli effetti della politica economica nel contesto economico internazionale</w:t>
            </w:r>
          </w:p>
        </w:tc>
      </w:tr>
    </w:tbl>
    <w:p w14:paraId="664CDB57" w14:textId="77777777" w:rsidR="00B70876" w:rsidRDefault="00B70876">
      <w:pPr>
        <w:jc w:val="both"/>
      </w:pPr>
    </w:p>
    <w:p w14:paraId="2D878FD1" w14:textId="77777777" w:rsidR="00B70876" w:rsidRDefault="00B70876">
      <w:pPr>
        <w:jc w:val="both"/>
      </w:pPr>
    </w:p>
    <w:p w14:paraId="13DF13DF" w14:textId="77777777" w:rsidR="00B70876" w:rsidRDefault="00B70876">
      <w:pPr>
        <w:jc w:val="both"/>
      </w:pPr>
    </w:p>
    <w:tbl>
      <w:tblPr>
        <w:tblW w:w="95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7"/>
        <w:gridCol w:w="1587"/>
        <w:gridCol w:w="1701"/>
        <w:gridCol w:w="3687"/>
      </w:tblGrid>
      <w:tr w:rsidR="002A01C3" w:rsidRPr="00EF3471" w14:paraId="24ECA22B" w14:textId="77777777" w:rsidTr="00EF3471">
        <w:trPr>
          <w:trHeight w:hRule="exact" w:val="397"/>
        </w:trPr>
        <w:tc>
          <w:tcPr>
            <w:tcW w:w="1134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5574B15A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Modulo</w:t>
            </w:r>
          </w:p>
        </w:tc>
        <w:tc>
          <w:tcPr>
            <w:tcW w:w="1417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78C4A7CD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Prerequisiti</w:t>
            </w:r>
          </w:p>
        </w:tc>
        <w:tc>
          <w:tcPr>
            <w:tcW w:w="1587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2B666912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Competenze</w:t>
            </w:r>
          </w:p>
        </w:tc>
        <w:tc>
          <w:tcPr>
            <w:tcW w:w="1701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12D9AC49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Conoscenze </w:t>
            </w:r>
          </w:p>
        </w:tc>
        <w:tc>
          <w:tcPr>
            <w:tcW w:w="3687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43B330B4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Abilità</w:t>
            </w:r>
          </w:p>
        </w:tc>
      </w:tr>
      <w:tr w:rsidR="002A01C3" w:rsidRPr="00EF3471" w14:paraId="64DB8457" w14:textId="77777777" w:rsidTr="00EF3471">
        <w:trPr>
          <w:trHeight w:val="1701"/>
        </w:trPr>
        <w:tc>
          <w:tcPr>
            <w:tcW w:w="1134" w:type="dxa"/>
            <w:tcMar>
              <w:top w:w="85" w:type="dxa"/>
            </w:tcMar>
          </w:tcPr>
          <w:p w14:paraId="25162038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sz w:val="16"/>
                <w:szCs w:val="16"/>
              </w:rPr>
              <w:t>2. La spesa pubblica</w:t>
            </w:r>
          </w:p>
        </w:tc>
        <w:tc>
          <w:tcPr>
            <w:tcW w:w="1417" w:type="dxa"/>
            <w:tcMar>
              <w:top w:w="85" w:type="dxa"/>
            </w:tcMar>
          </w:tcPr>
          <w:p w14:paraId="5CDEBA97" w14:textId="70DF44A4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Conoscenza dei principi generali di micro e macroeconomia</w:t>
            </w:r>
          </w:p>
          <w:p w14:paraId="40594169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7A9202C" w14:textId="3B2F4079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Conoscenza degli strumenti e degli obiettivi della politica economica</w:t>
            </w:r>
          </w:p>
          <w:p w14:paraId="1EC927F1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E4438B6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Conoscenza delle autorità di politica economica </w:t>
            </w:r>
          </w:p>
        </w:tc>
        <w:tc>
          <w:tcPr>
            <w:tcW w:w="1587" w:type="dxa"/>
            <w:tcMar>
              <w:top w:w="85" w:type="dxa"/>
            </w:tcMar>
          </w:tcPr>
          <w:p w14:paraId="7A407A33" w14:textId="260E150E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Saper distinguere i tipi di spesa in relazione a differenti criteri</w:t>
            </w:r>
          </w:p>
          <w:p w14:paraId="054A7F06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169CFFCC" w14:textId="15F7C0DB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Cogliere gli effetti di una determinata spesa pubblica a livello economico e sociale</w:t>
            </w:r>
          </w:p>
          <w:p w14:paraId="5CAE4376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00E05F6" w14:textId="245EDEA9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Comprendere le ragioni della crescita continua della spesa pubblica e gli effetti negativi sul sistema economico</w:t>
            </w:r>
          </w:p>
          <w:p w14:paraId="6690B63C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5076178" w14:textId="58AC0884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Distinguere i vari tipi di spesa sociale in relazione alle tipologie di intervento e alle modalità di finanziamento</w:t>
            </w:r>
          </w:p>
          <w:p w14:paraId="5ACF9F4C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17330DCA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Confrontare e distinguere i differenti sistemi di finanziamento e di erogazione delle prestazioni previdenziali, sanitarie e assistenziali </w:t>
            </w:r>
          </w:p>
          <w:p w14:paraId="1CA4C604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85" w:type="dxa"/>
            </w:tcMar>
          </w:tcPr>
          <w:p w14:paraId="784D53CD" w14:textId="08C06EC3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i sistemi di misurazione della spesa pubblica</w:t>
            </w:r>
          </w:p>
          <w:p w14:paraId="5965ED54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994E332" w14:textId="364E9C16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i criteri di classificazione della spesa pubblica</w:t>
            </w:r>
          </w:p>
          <w:p w14:paraId="00C6D967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FDCDB97" w14:textId="678EFCFD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l’andamento storico della spesa pubblica</w:t>
            </w:r>
          </w:p>
          <w:p w14:paraId="738C5511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06E11550" w14:textId="6A1EFD4D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le cause dell’incremento tendenziale della spesa pubblica e gli effetti negativi per il sistema</w:t>
            </w:r>
          </w:p>
          <w:p w14:paraId="41E852E2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03FB4F72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Conoscere gli effetti economici e sociali delle diverse spese pubbliche </w:t>
            </w:r>
          </w:p>
          <w:p w14:paraId="5B23706D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799CDF49" w14:textId="69A86CB4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i caratteri dello stato sociale</w:t>
            </w:r>
          </w:p>
          <w:p w14:paraId="7D5F153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122EDD9F" w14:textId="43BE11C2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i principali obiettivi della spesa sociale</w:t>
            </w:r>
          </w:p>
          <w:p w14:paraId="6DBC2899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AF8D808" w14:textId="666E6FB7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i diversi modi di finanziamento della spesa sociale</w:t>
            </w:r>
          </w:p>
          <w:p w14:paraId="35C09C51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7847862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le caratteristiche essenziali del sistema previdenziale, assistenziale e sanitario italiano</w:t>
            </w:r>
          </w:p>
          <w:p w14:paraId="200B1A66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687" w:type="dxa"/>
            <w:tcMar>
              <w:top w:w="85" w:type="dxa"/>
            </w:tcMar>
          </w:tcPr>
          <w:p w14:paraId="650089E1" w14:textId="153AD251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Saper riconoscere i vari tipi di spesa in relazione al loro effetto economico e sociale</w:t>
            </w:r>
          </w:p>
          <w:p w14:paraId="0CA31F6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0B659DF" w14:textId="68F8922D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Riconoscere le problematiche relative alla misurazione della spesa pubblica</w:t>
            </w:r>
          </w:p>
          <w:p w14:paraId="230CA76F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EA2B7BF" w14:textId="3780140F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Comprendere le ragioni della crescita della spesa e della difficoltà di controllarla</w:t>
            </w:r>
          </w:p>
          <w:p w14:paraId="478E48E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36FFE44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Saper distinguere gli effetti positivi e negativi della politica della spesa pubblica</w:t>
            </w:r>
          </w:p>
          <w:p w14:paraId="0A7A556B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122B8DC4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BEA4BE8" w14:textId="388FD4BB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Confrontare i diversi sistemi di finanziamento della spesa sociale</w:t>
            </w:r>
          </w:p>
          <w:p w14:paraId="00E0EBB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66EC37E" w14:textId="4FBFA6E4" w:rsidR="002A01C3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Distinguere i diversi tipi di prestazioni previdenziali</w:t>
            </w:r>
          </w:p>
          <w:p w14:paraId="067269C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724EAC29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Comprendere le caratteristiche strutturali e le modalità di finanziamento del sistema sanitario e assistenziale italiano</w:t>
            </w:r>
          </w:p>
          <w:p w14:paraId="4F2F969B" w14:textId="77777777" w:rsidR="002A01C3" w:rsidRPr="00EF3471" w:rsidRDefault="002A01C3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700A11EC" w14:textId="617A43FA" w:rsidR="00B70876" w:rsidRDefault="00B70876">
      <w:pPr>
        <w:jc w:val="both"/>
      </w:pPr>
    </w:p>
    <w:p w14:paraId="2A8EBE37" w14:textId="41240924" w:rsidR="00EF3471" w:rsidRDefault="00EF3471">
      <w:pPr>
        <w:jc w:val="both"/>
      </w:pPr>
    </w:p>
    <w:p w14:paraId="1E7F76A8" w14:textId="1AF7D6F0" w:rsidR="00EF3471" w:rsidRDefault="00EF3471">
      <w:pPr>
        <w:jc w:val="both"/>
      </w:pPr>
    </w:p>
    <w:p w14:paraId="30FD68BD" w14:textId="77777777" w:rsidR="00EF3471" w:rsidRDefault="00EF3471">
      <w:pPr>
        <w:jc w:val="both"/>
      </w:pPr>
    </w:p>
    <w:tbl>
      <w:tblPr>
        <w:tblW w:w="92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7"/>
        <w:gridCol w:w="1587"/>
        <w:gridCol w:w="1701"/>
        <w:gridCol w:w="3404"/>
      </w:tblGrid>
      <w:tr w:rsidR="00EF3471" w:rsidRPr="00EF3471" w14:paraId="34633FE5" w14:textId="77777777" w:rsidTr="00EF3471">
        <w:trPr>
          <w:trHeight w:hRule="exact" w:val="397"/>
        </w:trPr>
        <w:tc>
          <w:tcPr>
            <w:tcW w:w="1134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5BCA23E5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Modulo</w:t>
            </w:r>
          </w:p>
        </w:tc>
        <w:tc>
          <w:tcPr>
            <w:tcW w:w="1417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74CFE60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Prerequisiti</w:t>
            </w:r>
          </w:p>
        </w:tc>
        <w:tc>
          <w:tcPr>
            <w:tcW w:w="1587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66B777B9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Competenze</w:t>
            </w:r>
          </w:p>
        </w:tc>
        <w:tc>
          <w:tcPr>
            <w:tcW w:w="1701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2778D97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Conoscenze </w:t>
            </w:r>
          </w:p>
        </w:tc>
        <w:tc>
          <w:tcPr>
            <w:tcW w:w="3404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623A605F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Abilità</w:t>
            </w:r>
          </w:p>
        </w:tc>
      </w:tr>
      <w:tr w:rsidR="00EF3471" w:rsidRPr="00EF3471" w14:paraId="2925C011" w14:textId="77777777" w:rsidTr="00EF3471">
        <w:trPr>
          <w:trHeight w:val="1701"/>
        </w:trPr>
        <w:tc>
          <w:tcPr>
            <w:tcW w:w="1134" w:type="dxa"/>
            <w:tcMar>
              <w:top w:w="85" w:type="dxa"/>
            </w:tcMar>
          </w:tcPr>
          <w:p w14:paraId="5E96FEE5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3. La politica delle entrate pubbliche  </w:t>
            </w:r>
          </w:p>
        </w:tc>
        <w:tc>
          <w:tcPr>
            <w:tcW w:w="1417" w:type="dxa"/>
            <w:tcMar>
              <w:top w:w="85" w:type="dxa"/>
            </w:tcMar>
          </w:tcPr>
          <w:p w14:paraId="61BD74B3" w14:textId="7B38B8A1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Conoscenza degli strumenti e degli obiettivi della politica economica</w:t>
            </w:r>
          </w:p>
          <w:p w14:paraId="4A1005A7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D9E0BEE" w14:textId="433C9223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Conoscenza dei principali aggregati della contabilità nazionale </w:t>
            </w:r>
          </w:p>
          <w:p w14:paraId="05BF190B" w14:textId="77777777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3C32EB3E" w14:textId="63B5B999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Conoscenza delle caratteristiche e delle dimensioni della spesa pubblica nazionale</w:t>
            </w:r>
          </w:p>
          <w:p w14:paraId="087778C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87" w:type="dxa"/>
            <w:tcMar>
              <w:top w:w="85" w:type="dxa"/>
            </w:tcMar>
          </w:tcPr>
          <w:p w14:paraId="6A620AB1" w14:textId="0F3063AF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Saper distinguere i diversi tipi di entrate pubbliche in relazione alle conseguenze economiche e sociali </w:t>
            </w:r>
          </w:p>
          <w:p w14:paraId="4E6CFC4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E41074F" w14:textId="46160E9F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Saper cogliere le caratteristiche di ciascun tipo di tributo anche in relazione alle diverse conseguenze economiche e sociali </w:t>
            </w:r>
          </w:p>
          <w:p w14:paraId="573BCEC4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FC247D4" w14:textId="2C780959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Saper riconoscere la rispondenza di ciascun tipo di imposta ai principi giuridici </w:t>
            </w:r>
          </w:p>
          <w:p w14:paraId="140B748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B4A599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Saper riconoscere gli effetti microeconomici dell’imposta </w:t>
            </w:r>
          </w:p>
        </w:tc>
        <w:tc>
          <w:tcPr>
            <w:tcW w:w="1701" w:type="dxa"/>
            <w:tcMar>
              <w:top w:w="85" w:type="dxa"/>
            </w:tcMar>
          </w:tcPr>
          <w:p w14:paraId="7E5C044A" w14:textId="16810BD3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i diversi tipi di entrate pubbliche</w:t>
            </w:r>
          </w:p>
          <w:p w14:paraId="6FAF4F67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B1D968D" w14:textId="3939AB4A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i diversi tipi di tributi</w:t>
            </w:r>
          </w:p>
          <w:p w14:paraId="746D03E1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92568E1" w14:textId="338613A3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le modalità di misurazione delle entrate pubbliche</w:t>
            </w:r>
          </w:p>
          <w:p w14:paraId="39AC196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1B35486C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gli effetti economici dei diversi tipi di entrate pubbliche</w:t>
            </w:r>
          </w:p>
          <w:p w14:paraId="6628120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A496D1E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DEBDD0E" w14:textId="1A564474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gli elementi dell’obbligazione tributaria</w:t>
            </w:r>
          </w:p>
          <w:p w14:paraId="7A8CE20A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3C8C5507" w14:textId="09C899EA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i criteri di classificazione delle imposte</w:t>
            </w:r>
          </w:p>
          <w:p w14:paraId="6FC5584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EA6B971" w14:textId="00D8BDCB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i principi giuridici di imposta</w:t>
            </w:r>
          </w:p>
          <w:p w14:paraId="15F5BD23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0D252455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Conoscere gli effetti microeconomici delle imposte </w:t>
            </w:r>
          </w:p>
          <w:p w14:paraId="64EF8327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4" w:type="dxa"/>
            <w:tcMar>
              <w:top w:w="85" w:type="dxa"/>
            </w:tcMar>
          </w:tcPr>
          <w:p w14:paraId="53876ACC" w14:textId="0F659786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Saper distinguere i tipi di entrata pubblica</w:t>
            </w:r>
          </w:p>
          <w:p w14:paraId="4772AA5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0D190913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Confrontare le diverse caratteristiche delle entrate pubbliche comprendendone le conseguenze di tipo economico e sociale </w:t>
            </w:r>
          </w:p>
          <w:p w14:paraId="3EC222C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38BBE2A9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1AF34F1B" w14:textId="14FC8ADB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Riconoscere per ciascun tipo di imposta il presupposto e gli elementi essenziali</w:t>
            </w:r>
          </w:p>
          <w:p w14:paraId="3767AFC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032E6CE5" w14:textId="1FD026D0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Confrontare sul piano degli effetti economici e sociali i diversi tipi di imposta</w:t>
            </w:r>
          </w:p>
          <w:p w14:paraId="0F6DBD27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7143581" w14:textId="7FFE2E7F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Evidenziare il significato e la portata dei principi giuridici di imposta</w:t>
            </w:r>
          </w:p>
          <w:p w14:paraId="554ABA3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D556510" w14:textId="2ED6C864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Saper riconoscere le modalità di determinazione della capacità contributiva</w:t>
            </w:r>
          </w:p>
          <w:p w14:paraId="00D27A33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013076E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Riconoscere le conseguenze microeconomiche dell’introduzione dell’imposta</w:t>
            </w:r>
          </w:p>
        </w:tc>
      </w:tr>
    </w:tbl>
    <w:p w14:paraId="4D5E889D" w14:textId="77777777" w:rsidR="00B70876" w:rsidRDefault="00B70876">
      <w:pPr>
        <w:jc w:val="both"/>
      </w:pPr>
    </w:p>
    <w:p w14:paraId="3EABCEDE" w14:textId="616794AA" w:rsidR="00B70876" w:rsidRDefault="00B70876">
      <w:pPr>
        <w:jc w:val="both"/>
      </w:pPr>
    </w:p>
    <w:p w14:paraId="5DBF357E" w14:textId="0B7406A8" w:rsidR="002A01C3" w:rsidRDefault="002A01C3">
      <w:pPr>
        <w:jc w:val="both"/>
      </w:pPr>
    </w:p>
    <w:tbl>
      <w:tblPr>
        <w:tblW w:w="924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417"/>
        <w:gridCol w:w="1587"/>
        <w:gridCol w:w="1701"/>
        <w:gridCol w:w="3404"/>
      </w:tblGrid>
      <w:tr w:rsidR="00EF3471" w:rsidRPr="00EF3471" w14:paraId="20D42916" w14:textId="77777777" w:rsidTr="00EF3471">
        <w:trPr>
          <w:trHeight w:hRule="exact" w:val="397"/>
        </w:trPr>
        <w:tc>
          <w:tcPr>
            <w:tcW w:w="1134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1707C29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EF3471">
              <w:rPr>
                <w:rFonts w:eastAsia="Times New Roman" w:cs="Fira Sans"/>
                <w:b/>
                <w:bCs/>
                <w:sz w:val="16"/>
                <w:szCs w:val="16"/>
              </w:rPr>
              <w:t>Modulo</w:t>
            </w:r>
          </w:p>
        </w:tc>
        <w:tc>
          <w:tcPr>
            <w:tcW w:w="1417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1FC0F1B3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EF3471">
              <w:rPr>
                <w:rFonts w:eastAsia="Times New Roman" w:cs="Fira Sans"/>
                <w:b/>
                <w:bCs/>
                <w:sz w:val="16"/>
                <w:szCs w:val="16"/>
              </w:rPr>
              <w:t>Prerequisiti</w:t>
            </w:r>
          </w:p>
        </w:tc>
        <w:tc>
          <w:tcPr>
            <w:tcW w:w="1587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48052782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EF3471">
              <w:rPr>
                <w:rFonts w:eastAsia="Times New Roman" w:cs="Fira Sans"/>
                <w:b/>
                <w:bCs/>
                <w:sz w:val="16"/>
                <w:szCs w:val="16"/>
              </w:rPr>
              <w:t>Competenze</w:t>
            </w:r>
          </w:p>
        </w:tc>
        <w:tc>
          <w:tcPr>
            <w:tcW w:w="1701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08C98B02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EF3471">
              <w:rPr>
                <w:rFonts w:eastAsia="Times New Roman" w:cs="Fira Sans"/>
                <w:b/>
                <w:bCs/>
                <w:sz w:val="16"/>
                <w:szCs w:val="16"/>
              </w:rPr>
              <w:t xml:space="preserve">Conoscenze </w:t>
            </w:r>
          </w:p>
        </w:tc>
        <w:tc>
          <w:tcPr>
            <w:tcW w:w="3404" w:type="dxa"/>
            <w:shd w:val="clear" w:color="auto" w:fill="EEECE1"/>
            <w:tcMar>
              <w:top w:w="85" w:type="nil"/>
              <w:left w:w="57" w:type="nil"/>
              <w:bottom w:w="85" w:type="nil"/>
              <w:right w:w="57" w:type="nil"/>
            </w:tcMar>
            <w:vAlign w:val="center"/>
          </w:tcPr>
          <w:p w14:paraId="36E68AF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EF3471">
              <w:rPr>
                <w:rFonts w:eastAsia="Times New Roman" w:cs="Fira Sans"/>
                <w:b/>
                <w:bCs/>
                <w:sz w:val="16"/>
                <w:szCs w:val="16"/>
              </w:rPr>
              <w:t>Abilità</w:t>
            </w:r>
          </w:p>
        </w:tc>
      </w:tr>
      <w:tr w:rsidR="00EF3471" w:rsidRPr="00EF3471" w14:paraId="2ACE0C0D" w14:textId="77777777" w:rsidTr="00EF3471">
        <w:trPr>
          <w:trHeight w:val="2882"/>
        </w:trPr>
        <w:tc>
          <w:tcPr>
            <w:tcW w:w="1134" w:type="dxa"/>
            <w:tcMar>
              <w:top w:w="85" w:type="dxa"/>
            </w:tcMar>
          </w:tcPr>
          <w:p w14:paraId="0638F076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4. Il bilancio delle autorità pubbliche </w:t>
            </w:r>
          </w:p>
          <w:p w14:paraId="516D8C93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72B6B599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66619262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839B7B5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6949692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052F0AE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8E806F2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085F538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C14EF56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5A2E8909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64C1375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6F934CA3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00F000F4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12614E4F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3A05F2FC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11477B1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7E48D7F2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B915586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218AE433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68614F4B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782BD71F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4E8A929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2CAE6F2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3AE9E15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397586D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6CC3AD17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29D43F45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E8C13E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6EE47CF3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E9A760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16AEDF36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DB5C6F9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519F2CA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6281CA1A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28333ECF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50FD4C3C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20628D1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7FCC59EA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5DA251AE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37245AC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08BC351B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374DFCF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5EF47E2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07A57801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71F97C1A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0B1AE510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21D254C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1D0B3874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52816BAB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4A0C5B6F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14:paraId="571C82C5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57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tcMar>
              <w:top w:w="85" w:type="dxa"/>
            </w:tcMar>
          </w:tcPr>
          <w:p w14:paraId="7BD1AA69" w14:textId="204700CA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Conoscenza delle ragioni dell’intervento del soggetto pubblico in economia</w:t>
            </w:r>
          </w:p>
          <w:p w14:paraId="5EF61149" w14:textId="77777777" w:rsidR="00A9253C" w:rsidRPr="00EF3471" w:rsidRDefault="00A9253C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35837F19" w14:textId="2101F770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Conoscenza delle principali istituzioni dello Stato </w:t>
            </w:r>
            <w:proofErr w:type="gramStart"/>
            <w:r w:rsidRPr="00EF3471">
              <w:rPr>
                <w:rFonts w:ascii="Arial" w:eastAsia="Times New Roman" w:hAnsi="Arial" w:cs="Arial"/>
                <w:sz w:val="16"/>
                <w:szCs w:val="16"/>
              </w:rPr>
              <w:t>Italiano</w:t>
            </w:r>
            <w:proofErr w:type="gramEnd"/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 e dell’Unione europea</w:t>
            </w:r>
          </w:p>
          <w:p w14:paraId="637E35F6" w14:textId="77777777" w:rsidR="00A9253C" w:rsidRPr="00EF3471" w:rsidRDefault="00A9253C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10AFACCA" w14:textId="7BE919FF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Conoscenza dei principali periodi </w:t>
            </w:r>
            <w:proofErr w:type="gramStart"/>
            <w:r w:rsidRPr="00EF3471">
              <w:rPr>
                <w:rFonts w:ascii="Arial" w:eastAsia="Times New Roman" w:hAnsi="Arial" w:cs="Arial"/>
                <w:sz w:val="16"/>
                <w:szCs w:val="16"/>
              </w:rPr>
              <w:t>storici .</w:t>
            </w:r>
            <w:proofErr w:type="gramEnd"/>
          </w:p>
          <w:p w14:paraId="3897409A" w14:textId="77777777" w:rsidR="00A9253C" w:rsidRPr="00EF3471" w:rsidRDefault="00A9253C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3E84788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Conoscenza nelle sue linee essenziali della storia del pensiero economico</w:t>
            </w:r>
          </w:p>
          <w:p w14:paraId="7B10C741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87" w:type="dxa"/>
            <w:tcMar>
              <w:top w:w="85" w:type="dxa"/>
            </w:tcMar>
          </w:tcPr>
          <w:p w14:paraId="4DB8FE40" w14:textId="1D961C41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Saper leggere e analizzare i principali documenti che compongono la “manovra finanziaria”</w:t>
            </w:r>
          </w:p>
          <w:p w14:paraId="22C6A7F5" w14:textId="77777777" w:rsidR="00A9253C" w:rsidRPr="00EF3471" w:rsidRDefault="00A9253C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CFEBDFB" w14:textId="3A261A47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Saper cogliere i nessi e i collegamenti tra i bilanci elaborati dai diversi livelli di governo</w:t>
            </w:r>
          </w:p>
          <w:p w14:paraId="62CAD914" w14:textId="77777777" w:rsidR="00A9253C" w:rsidRPr="00EF3471" w:rsidRDefault="00A9253C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3CB3321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Individuare le manovre di bilancio ancora possibili che i singoli Stati membri dell’Ue possono eseguire, dopo i limiti introdotti a livello europeo sulla spesa pubblica </w:t>
            </w:r>
          </w:p>
          <w:p w14:paraId="057556E1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01" w:type="dxa"/>
            <w:tcMar>
              <w:top w:w="85" w:type="dxa"/>
            </w:tcMar>
          </w:tcPr>
          <w:p w14:paraId="019299B5" w14:textId="517D3599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Comprendere le caratteristiche dei bilanci, in base al tempo e al contenuto</w:t>
            </w:r>
          </w:p>
          <w:p w14:paraId="4B7E0220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701F6F6C" w14:textId="3C2473C5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Spiegare le fasi del processo di bilancio</w:t>
            </w:r>
          </w:p>
          <w:p w14:paraId="5D7A26DB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010264B2" w14:textId="323174AE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Distinguere tra bilancio a legislazione vigente e bilancio di previsione programmatico</w:t>
            </w:r>
          </w:p>
          <w:p w14:paraId="2E55F7E0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3DDB33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la procedura di formazione, esame, approvazione e gestione del bilancio pubblico</w:t>
            </w:r>
          </w:p>
          <w:p w14:paraId="7B321C4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C74A5EA" w14:textId="33131CD9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Distinguere tra bilancio decisionale e gestionale</w:t>
            </w:r>
          </w:p>
          <w:p w14:paraId="7F468DD1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320DEA3C" w14:textId="50BB74B9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i risultati differenziali, che sintetizzano le informazioni contenute nel bilancio dello Stato</w:t>
            </w:r>
          </w:p>
          <w:p w14:paraId="4279C954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ADFCCAC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Comprendere in che cosa consiste il controllo interno ed esterno sulla risultanza di bilancio</w:t>
            </w:r>
          </w:p>
          <w:p w14:paraId="56BBCA42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7D4B35C4" w14:textId="552D797A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Illustrare brevemente le teorie del bilancio</w:t>
            </w:r>
          </w:p>
          <w:p w14:paraId="4C9A0E9E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95AA0B4" w14:textId="4D2FA04F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Comprendere il fenomeno del disavanzo pubblico</w:t>
            </w:r>
          </w:p>
          <w:p w14:paraId="3725D988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34D40703" w14:textId="42170049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Conoscere la composizione delle entrate straordinarie e in particolare del prestito pubblico</w:t>
            </w:r>
          </w:p>
          <w:p w14:paraId="0772CE1C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51DCDF7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Illustrare le possibili manovre di politica economica, dopo i limiti introdotti a livello europeo</w:t>
            </w:r>
          </w:p>
          <w:p w14:paraId="23734856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18AAC949" w14:textId="5A59B6A0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Descrivere il principio di sussidiarietà verticale e orizzontale</w:t>
            </w:r>
          </w:p>
          <w:p w14:paraId="3EC009A4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AF8B847" w14:textId="683EB989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Cogliere la differenza tra centralismo e federalismo evidenziando il passaggio dalla finanza locale derivata all’autonomia tributaria degli enti territoriali </w:t>
            </w:r>
          </w:p>
          <w:p w14:paraId="49609842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2C275E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Comprendere i contenuti del patto di stabilità interno</w:t>
            </w:r>
          </w:p>
          <w:p w14:paraId="5932E1EF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101269B1" w14:textId="19BDED80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Illustrare i principi e la struttura del bilancio dell’UE</w:t>
            </w:r>
          </w:p>
          <w:p w14:paraId="264D12F4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D6D52F0" w14:textId="75DCF11B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Spiegare le fasi che caratterizzano la procedura di bilancio europeo</w:t>
            </w:r>
          </w:p>
          <w:p w14:paraId="381A8A2D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6139E66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Individuare i tipi di controllo a cui è soggetto il bilancio dell’UE.</w:t>
            </w:r>
          </w:p>
        </w:tc>
        <w:tc>
          <w:tcPr>
            <w:tcW w:w="3404" w:type="dxa"/>
            <w:tcMar>
              <w:top w:w="85" w:type="dxa"/>
            </w:tcMar>
          </w:tcPr>
          <w:p w14:paraId="49B08765" w14:textId="6D33B371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Saper riconoscere i diversi tipi di bilancio cogliendone gli aspetti critici e le varie problematiche</w:t>
            </w:r>
          </w:p>
          <w:p w14:paraId="7377E0BF" w14:textId="58F5F267" w:rsidR="00A81358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6E612C5C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14470D74" w14:textId="20EFC88C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Dimostrare quali sono da un punto di vista economico le differenze tra il bilancio di previsione di competenza e quello di cassa</w:t>
            </w:r>
          </w:p>
          <w:p w14:paraId="29ED77E8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04DBD3DE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Comprendere il ruolo della legge di bilancio </w:t>
            </w:r>
          </w:p>
          <w:p w14:paraId="005B8C06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3176146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2FBA2E2" w14:textId="161DB8FB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Saper leggere il bilancio dello Stato e commentare i relativi risultati differenziali, evidenziandone eventuali criticità</w:t>
            </w:r>
          </w:p>
          <w:p w14:paraId="0D4E236B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AA481E8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Saper distinguere i diversi ruoli degli organi </w:t>
            </w:r>
            <w:proofErr w:type="gramStart"/>
            <w:r w:rsidRPr="00EF3471">
              <w:rPr>
                <w:rFonts w:ascii="Arial" w:eastAsia="Times New Roman" w:hAnsi="Arial" w:cs="Arial"/>
                <w:sz w:val="16"/>
                <w:szCs w:val="16"/>
              </w:rPr>
              <w:t>coinvolti  nel</w:t>
            </w:r>
            <w:proofErr w:type="gramEnd"/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 controllo sulla gestione e sulle risultanze di bilancio </w:t>
            </w:r>
          </w:p>
          <w:p w14:paraId="241877E6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9BC8B7E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Confrontare le principali teorie del bilancio </w:t>
            </w:r>
          </w:p>
          <w:p w14:paraId="314051EB" w14:textId="09B1761F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Individuare i principali interventi per contenere la spesa pubblica</w:t>
            </w:r>
          </w:p>
          <w:p w14:paraId="780D4A37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0B93627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Essere </w:t>
            </w:r>
            <w:proofErr w:type="gramStart"/>
            <w:r w:rsidRPr="00EF3471">
              <w:rPr>
                <w:rFonts w:ascii="Arial" w:eastAsia="Times New Roman" w:hAnsi="Arial" w:cs="Arial"/>
                <w:sz w:val="16"/>
                <w:szCs w:val="16"/>
              </w:rPr>
              <w:t>in  grado</w:t>
            </w:r>
            <w:proofErr w:type="gramEnd"/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 di prevedere e calcolare gli effetti sul sistema economico di manovre quantitative e/o qualitative sulla spesa pubblica e sulle entrate </w:t>
            </w:r>
          </w:p>
          <w:p w14:paraId="14DEF7A2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8CECC41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07EC19D" w14:textId="30E520B5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Riconoscere i pregi e i difetti del federalismo fiscale</w:t>
            </w:r>
          </w:p>
          <w:p w14:paraId="61249BFD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9D6825E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 xml:space="preserve">Mettere a confronto il bilancio dello Stato con quello degli enti territoriali evidenziando analogie e differenze </w:t>
            </w:r>
          </w:p>
          <w:p w14:paraId="7EC8ACB6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76485C89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112E7FC" w14:textId="548129C0" w:rsid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Individuare i problemi che nascono dalla mancata autonomia impositiva dell’UE e le prospettive di riforma</w:t>
            </w:r>
          </w:p>
          <w:p w14:paraId="7A2B99B7" w14:textId="77777777" w:rsidR="00A81358" w:rsidRPr="00EF3471" w:rsidRDefault="00A81358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D5A7DE5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  <w:r w:rsidRPr="00EF3471">
              <w:rPr>
                <w:rFonts w:ascii="Arial" w:eastAsia="Times New Roman" w:hAnsi="Arial" w:cs="Arial"/>
                <w:sz w:val="16"/>
                <w:szCs w:val="16"/>
              </w:rPr>
              <w:t>Riconoscere il ruolo dei singoli organismi europei nella procedura di bilancio</w:t>
            </w:r>
          </w:p>
          <w:p w14:paraId="739CA1BD" w14:textId="77777777" w:rsidR="00EF3471" w:rsidRPr="00EF3471" w:rsidRDefault="00EF3471" w:rsidP="0092423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7D301360" w14:textId="77777777" w:rsidR="002A01C3" w:rsidRDefault="002A01C3">
      <w:pPr>
        <w:jc w:val="both"/>
      </w:pPr>
    </w:p>
    <w:p w14:paraId="602C00B3" w14:textId="77777777" w:rsidR="00B70876" w:rsidRDefault="00B70876">
      <w:pPr>
        <w:jc w:val="both"/>
      </w:pPr>
    </w:p>
    <w:p w14:paraId="1323BC01" w14:textId="77777777" w:rsidR="00B70876" w:rsidRDefault="00B70876">
      <w:pPr>
        <w:jc w:val="both"/>
      </w:pPr>
    </w:p>
    <w:p w14:paraId="5CF03832" w14:textId="77777777" w:rsidR="00B70876" w:rsidRDefault="00B70876">
      <w:pPr>
        <w:jc w:val="both"/>
      </w:pPr>
    </w:p>
    <w:p w14:paraId="06A8BB19" w14:textId="77777777" w:rsidR="00B70876" w:rsidRDefault="00B70876">
      <w:pPr>
        <w:jc w:val="both"/>
      </w:pPr>
    </w:p>
    <w:p w14:paraId="121E54E6" w14:textId="77777777" w:rsidR="00B70876" w:rsidRDefault="00B70876">
      <w:pPr>
        <w:jc w:val="both"/>
      </w:pPr>
    </w:p>
    <w:p w14:paraId="30ABB27A" w14:textId="77777777" w:rsidR="00B70876" w:rsidRDefault="00B70876">
      <w:pPr>
        <w:jc w:val="both"/>
      </w:pPr>
    </w:p>
    <w:p w14:paraId="45EAD1A1" w14:textId="77777777" w:rsidR="00B70876" w:rsidRDefault="00B70876">
      <w:pPr>
        <w:jc w:val="both"/>
      </w:pPr>
    </w:p>
    <w:p w14:paraId="5C78E920" w14:textId="77777777" w:rsidR="00B70876" w:rsidRDefault="00B70876">
      <w:pPr>
        <w:jc w:val="both"/>
      </w:pPr>
    </w:p>
    <w:p w14:paraId="25945016" w14:textId="77777777" w:rsidR="00B70876" w:rsidRDefault="00B70876">
      <w:pPr>
        <w:jc w:val="both"/>
      </w:pPr>
    </w:p>
    <w:p w14:paraId="45D11F34" w14:textId="77777777" w:rsidR="00B70876" w:rsidRDefault="00B70876">
      <w:pPr>
        <w:jc w:val="both"/>
      </w:pPr>
    </w:p>
    <w:p w14:paraId="1BDA1388" w14:textId="77777777" w:rsidR="00B70876" w:rsidRDefault="00B70876">
      <w:pPr>
        <w:jc w:val="both"/>
      </w:pPr>
    </w:p>
    <w:sectPr w:rsidR="00B70876" w:rsidSect="002A01C3">
      <w:pgSz w:w="11900" w:h="16850"/>
      <w:pgMar w:top="1417" w:right="1134" w:bottom="1134" w:left="1134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Roman">
    <w:panose1 w:val="00000000000000000000"/>
    <w:charset w:val="00"/>
    <w:family w:val="roman"/>
    <w:notTrueType/>
    <w:pitch w:val="default"/>
  </w:font>
  <w:font w:name="AkzidenzGroteskBE-Bold">
    <w:altName w:val="Calibri"/>
    <w:charset w:val="00"/>
    <w:family w:val="auto"/>
    <w:pitch w:val="default"/>
  </w:font>
  <w:font w:name="HelveticaNeueLTStd-BdCn">
    <w:panose1 w:val="00000000000000000000"/>
    <w:charset w:val="00"/>
    <w:family w:val="roman"/>
    <w:notTrueType/>
    <w:pitch w:val="default"/>
  </w:font>
  <w:font w:name="HelveticaNeueLTStd-LtCn">
    <w:panose1 w:val="00000000000000000000"/>
    <w:charset w:val="00"/>
    <w:family w:val="roman"/>
    <w:notTrueType/>
    <w:pitch w:val="default"/>
  </w:font>
  <w:font w:name="HelveticaNeueLTStd-UltLtCn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,Bold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25230"/>
    <w:multiLevelType w:val="multilevel"/>
    <w:tmpl w:val="6100954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3E3618A"/>
    <w:multiLevelType w:val="multilevel"/>
    <w:tmpl w:val="76CCD31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F7C421D"/>
    <w:multiLevelType w:val="multilevel"/>
    <w:tmpl w:val="1954F5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85E7E95"/>
    <w:multiLevelType w:val="hybridMultilevel"/>
    <w:tmpl w:val="47087D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857FD"/>
    <w:multiLevelType w:val="multilevel"/>
    <w:tmpl w:val="79287C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D6F2E6E"/>
    <w:multiLevelType w:val="multilevel"/>
    <w:tmpl w:val="00983C92"/>
    <w:lvl w:ilvl="0">
      <w:numFmt w:val="bullet"/>
      <w:lvlText w:val="●"/>
      <w:lvlJc w:val="left"/>
      <w:pPr>
        <w:ind w:left="834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823" w:hanging="360"/>
      </w:pPr>
    </w:lvl>
    <w:lvl w:ilvl="2">
      <w:numFmt w:val="bullet"/>
      <w:lvlText w:val="•"/>
      <w:lvlJc w:val="left"/>
      <w:pPr>
        <w:ind w:left="2807" w:hanging="361"/>
      </w:pPr>
    </w:lvl>
    <w:lvl w:ilvl="3">
      <w:numFmt w:val="bullet"/>
      <w:lvlText w:val="•"/>
      <w:lvlJc w:val="left"/>
      <w:pPr>
        <w:ind w:left="3791" w:hanging="361"/>
      </w:pPr>
    </w:lvl>
    <w:lvl w:ilvl="4">
      <w:numFmt w:val="bullet"/>
      <w:lvlText w:val="•"/>
      <w:lvlJc w:val="left"/>
      <w:pPr>
        <w:ind w:left="4775" w:hanging="361"/>
      </w:pPr>
    </w:lvl>
    <w:lvl w:ilvl="5">
      <w:numFmt w:val="bullet"/>
      <w:lvlText w:val="•"/>
      <w:lvlJc w:val="left"/>
      <w:pPr>
        <w:ind w:left="5759" w:hanging="361"/>
      </w:pPr>
    </w:lvl>
    <w:lvl w:ilvl="6">
      <w:numFmt w:val="bullet"/>
      <w:lvlText w:val="•"/>
      <w:lvlJc w:val="left"/>
      <w:pPr>
        <w:ind w:left="6743" w:hanging="361"/>
      </w:pPr>
    </w:lvl>
    <w:lvl w:ilvl="7">
      <w:numFmt w:val="bullet"/>
      <w:lvlText w:val="•"/>
      <w:lvlJc w:val="left"/>
      <w:pPr>
        <w:ind w:left="7727" w:hanging="361"/>
      </w:pPr>
    </w:lvl>
    <w:lvl w:ilvl="8">
      <w:numFmt w:val="bullet"/>
      <w:lvlText w:val="•"/>
      <w:lvlJc w:val="left"/>
      <w:pPr>
        <w:ind w:left="8711" w:hanging="361"/>
      </w:pPr>
    </w:lvl>
  </w:abstractNum>
  <w:abstractNum w:abstractNumId="6" w15:restartNumberingAfterBreak="0">
    <w:nsid w:val="78FC2C01"/>
    <w:multiLevelType w:val="multilevel"/>
    <w:tmpl w:val="A1C0F02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118377351">
    <w:abstractNumId w:val="1"/>
  </w:num>
  <w:num w:numId="2" w16cid:durableId="1582980440">
    <w:abstractNumId w:val="0"/>
  </w:num>
  <w:num w:numId="3" w16cid:durableId="2055152524">
    <w:abstractNumId w:val="4"/>
  </w:num>
  <w:num w:numId="4" w16cid:durableId="139201510">
    <w:abstractNumId w:val="5"/>
  </w:num>
  <w:num w:numId="5" w16cid:durableId="154037266">
    <w:abstractNumId w:val="2"/>
  </w:num>
  <w:num w:numId="6" w16cid:durableId="365063499">
    <w:abstractNumId w:val="6"/>
  </w:num>
  <w:num w:numId="7" w16cid:durableId="6657887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876"/>
    <w:rsid w:val="00001397"/>
    <w:rsid w:val="001B525A"/>
    <w:rsid w:val="002A01C3"/>
    <w:rsid w:val="00353B43"/>
    <w:rsid w:val="005271AF"/>
    <w:rsid w:val="00607FA7"/>
    <w:rsid w:val="007E4F90"/>
    <w:rsid w:val="00A81358"/>
    <w:rsid w:val="00A9253C"/>
    <w:rsid w:val="00B70876"/>
    <w:rsid w:val="00E165DD"/>
    <w:rsid w:val="00EF3471"/>
    <w:rsid w:val="00F7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C825B"/>
  <w15:docId w15:val="{DD6EEAC2-DE1F-4A0F-99EB-2FD376F99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testo">
    <w:name w:val="Body Text"/>
    <w:basedOn w:val="Normale"/>
    <w:link w:val="CorpotestoCarattere"/>
    <w:uiPriority w:val="1"/>
    <w:qFormat/>
    <w:rsid w:val="00166A33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66A33"/>
    <w:rPr>
      <w:rFonts w:ascii="Garamond" w:eastAsia="Garamond" w:hAnsi="Garamond" w:cs="Garamond"/>
      <w:sz w:val="24"/>
      <w:szCs w:val="24"/>
    </w:rPr>
  </w:style>
  <w:style w:type="paragraph" w:styleId="Paragrafoelenco">
    <w:name w:val="List Paragraph"/>
    <w:basedOn w:val="Normale"/>
    <w:uiPriority w:val="1"/>
    <w:qFormat/>
    <w:rsid w:val="00166A33"/>
    <w:pPr>
      <w:widowControl w:val="0"/>
      <w:autoSpaceDE w:val="0"/>
      <w:autoSpaceDN w:val="0"/>
      <w:spacing w:after="0" w:line="404" w:lineRule="exact"/>
      <w:ind w:left="834" w:hanging="361"/>
    </w:pPr>
    <w:rPr>
      <w:rFonts w:ascii="Garamond" w:eastAsia="Garamond" w:hAnsi="Garamond" w:cs="Garamond"/>
    </w:rPr>
  </w:style>
  <w:style w:type="table" w:styleId="Grigliatabella">
    <w:name w:val="Table Grid"/>
    <w:basedOn w:val="Tabellanormale"/>
    <w:uiPriority w:val="39"/>
    <w:rsid w:val="0046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ostileparagrafo">
    <w:name w:val="[Nessuno stile paragrafo]"/>
    <w:rsid w:val="00464BB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Times New Roman" w:hAnsi="Times-Roman" w:cs="Times-Roman"/>
      <w:color w:val="000000"/>
      <w:sz w:val="24"/>
      <w:szCs w:val="24"/>
    </w:rPr>
  </w:style>
  <w:style w:type="paragraph" w:customStyle="1" w:styleId="Paragrafobase">
    <w:name w:val="[Paragrafo base]"/>
    <w:basedOn w:val="Nessunostileparagrafo"/>
    <w:uiPriority w:val="99"/>
    <w:rsid w:val="00464BBE"/>
  </w:style>
  <w:style w:type="paragraph" w:customStyle="1" w:styleId="tabtestatineneg02tabellaprogrammazione">
    <w:name w:val="tab_testatine neg (02_tabella_programmazione)"/>
    <w:basedOn w:val="Nessunostileparagrafo"/>
    <w:uiPriority w:val="99"/>
    <w:rsid w:val="00464BBE"/>
    <w:pPr>
      <w:suppressAutoHyphens/>
      <w:spacing w:line="200" w:lineRule="atLeast"/>
      <w:ind w:left="57"/>
      <w:jc w:val="center"/>
    </w:pPr>
    <w:rPr>
      <w:rFonts w:ascii="AkzidenzGroteskBE-Bold" w:hAnsi="AkzidenzGroteskBE-Bold" w:cs="AkzidenzGroteskBE-Bold"/>
      <w:b/>
      <w:bCs/>
      <w:caps/>
      <w:color w:val="FFFFFF"/>
      <w:sz w:val="18"/>
      <w:szCs w:val="18"/>
    </w:rPr>
  </w:style>
  <w:style w:type="paragraph" w:customStyle="1" w:styleId="tabtitoletti02tabellaprogrammazione">
    <w:name w:val="tab_titoletti (02_tabella_programmazione)"/>
    <w:basedOn w:val="Nessunostileparagrafo"/>
    <w:uiPriority w:val="99"/>
    <w:rsid w:val="00464BBE"/>
    <w:pPr>
      <w:tabs>
        <w:tab w:val="left" w:pos="1701"/>
      </w:tabs>
      <w:suppressAutoHyphens/>
      <w:spacing w:line="200" w:lineRule="atLeast"/>
      <w:ind w:left="57"/>
    </w:pPr>
    <w:rPr>
      <w:rFonts w:ascii="HelveticaNeueLTStd-BdCn" w:hAnsi="HelveticaNeueLTStd-BdCn" w:cs="HelveticaNeueLTStd-BdCn"/>
      <w:b/>
      <w:bCs/>
      <w:sz w:val="18"/>
      <w:szCs w:val="18"/>
    </w:rPr>
  </w:style>
  <w:style w:type="paragraph" w:customStyle="1" w:styleId="tabtestatine02tabellaprogrammazione">
    <w:name w:val="tab_testatine (02_tabella_programmazione)"/>
    <w:basedOn w:val="Nessunostileparagrafo"/>
    <w:uiPriority w:val="99"/>
    <w:rsid w:val="00464BBE"/>
    <w:pPr>
      <w:tabs>
        <w:tab w:val="left" w:pos="1701"/>
      </w:tabs>
      <w:suppressAutoHyphens/>
      <w:spacing w:line="200" w:lineRule="atLeast"/>
      <w:ind w:left="57"/>
    </w:pPr>
    <w:rPr>
      <w:rFonts w:ascii="AkzidenzGroteskBE-Bold" w:hAnsi="AkzidenzGroteskBE-Bold" w:cs="AkzidenzGroteskBE-Bold"/>
      <w:b/>
      <w:bCs/>
      <w:sz w:val="18"/>
      <w:szCs w:val="18"/>
    </w:rPr>
  </w:style>
  <w:style w:type="paragraph" w:customStyle="1" w:styleId="tabunit02tabellaprogrammazione">
    <w:name w:val="tab_unità (02_tabella_programmazione)"/>
    <w:basedOn w:val="Nessunostileparagrafo"/>
    <w:uiPriority w:val="99"/>
    <w:rsid w:val="00464BBE"/>
    <w:pPr>
      <w:suppressAutoHyphens/>
      <w:spacing w:before="200" w:line="200" w:lineRule="atLeast"/>
      <w:ind w:left="57" w:right="57"/>
    </w:pPr>
    <w:rPr>
      <w:rFonts w:ascii="HelveticaNeueLTStd-LtCn" w:hAnsi="HelveticaNeueLTStd-LtCn" w:cs="HelveticaNeueLTStd-LtCn"/>
      <w:sz w:val="18"/>
      <w:szCs w:val="18"/>
    </w:rPr>
  </w:style>
  <w:style w:type="paragraph" w:customStyle="1" w:styleId="tabpuntoelencotesto02tabellaprogrammazione">
    <w:name w:val="tab_punto_elenco_testo (02_tabella_programmazione)"/>
    <w:basedOn w:val="Nessunostileparagrafo"/>
    <w:uiPriority w:val="99"/>
    <w:rsid w:val="00464BBE"/>
    <w:pPr>
      <w:suppressAutoHyphens/>
      <w:spacing w:after="57" w:line="200" w:lineRule="atLeast"/>
      <w:ind w:left="227" w:right="57" w:hanging="170"/>
    </w:pPr>
    <w:rPr>
      <w:rFonts w:ascii="HelveticaNeueLTStd-LtCn" w:hAnsi="HelveticaNeueLTStd-LtCn" w:cs="HelveticaNeueLTStd-LtCn"/>
      <w:sz w:val="18"/>
      <w:szCs w:val="18"/>
    </w:rPr>
  </w:style>
  <w:style w:type="paragraph" w:customStyle="1" w:styleId="tabelencosenzapunto02tabellaprogrammazione">
    <w:name w:val="tab_elenco_senza_punto (02_tabella_programmazione)"/>
    <w:basedOn w:val="Nessunostileparagrafo"/>
    <w:uiPriority w:val="99"/>
    <w:rsid w:val="00464BBE"/>
    <w:pPr>
      <w:suppressAutoHyphens/>
      <w:spacing w:after="57" w:line="200" w:lineRule="atLeast"/>
      <w:ind w:left="170" w:hanging="113"/>
    </w:pPr>
    <w:rPr>
      <w:rFonts w:ascii="HelveticaNeueLTStd-LtCn" w:hAnsi="HelveticaNeueLTStd-LtCn" w:cs="HelveticaNeueLTStd-LtCn"/>
      <w:sz w:val="18"/>
      <w:szCs w:val="18"/>
    </w:rPr>
  </w:style>
  <w:style w:type="character" w:customStyle="1" w:styleId="01glifoelencopallino02tabellaprogrammazione">
    <w:name w:val="01_glifo_elenco_pallino (02_tabella_programmazione)"/>
    <w:uiPriority w:val="99"/>
    <w:rsid w:val="00464BBE"/>
    <w:rPr>
      <w:rFonts w:ascii="HelveticaNeueLTStd-UltLtCn" w:hAnsi="HelveticaNeueLTStd-UltLtCn" w:cs="HelveticaNeueLTStd-UltLtCn"/>
      <w:color w:val="000000"/>
      <w:w w:val="100"/>
      <w:position w:val="0"/>
      <w:sz w:val="18"/>
      <w:szCs w:val="18"/>
      <w:u w:val="none"/>
    </w:rPr>
  </w:style>
  <w:style w:type="character" w:customStyle="1" w:styleId="tabtestocvo02tabellaprogrammazione">
    <w:name w:val="tab_testo_cvo (02_tabella_programmazione)"/>
    <w:uiPriority w:val="99"/>
    <w:rsid w:val="00464BBE"/>
    <w:rPr>
      <w:i/>
      <w:i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dis01800d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sismagrinimarchetti.i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udis01800d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LiQV3l3E42Z+BJ8LGHvAHVfgpg==">AMUW2mWYSHImleSzV9p9Tnv6I5WMrkrRk9zAV0S5+cwqqEUOSUdNo+c2K1pdaESyxdgJjgSy77uoYz+xMJTgqvbBTQhU2Jk9j2t4Hy5pJRHH9nbfNyk9tdQ=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1992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buttazzoni</dc:creator>
  <cp:lastModifiedBy>Emanuela Buttazzoni</cp:lastModifiedBy>
  <cp:revision>8</cp:revision>
  <dcterms:created xsi:type="dcterms:W3CDTF">2022-11-18T08:31:00Z</dcterms:created>
  <dcterms:modified xsi:type="dcterms:W3CDTF">2024-08-20T10:05:00Z</dcterms:modified>
</cp:coreProperties>
</file>